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670EBA">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271338">
        <w:rPr>
          <w:rFonts w:ascii="Arial" w:hAnsi="Arial" w:cs="Arial"/>
          <w:sz w:val="22"/>
          <w:szCs w:val="22"/>
        </w:rPr>
        <w:t>1</w:t>
      </w:r>
      <w:r w:rsidR="00670EBA">
        <w:rPr>
          <w:rFonts w:ascii="Arial" w:hAnsi="Arial" w:cs="Arial"/>
          <w:sz w:val="22"/>
          <w:szCs w:val="22"/>
        </w:rPr>
        <w:t>5</w:t>
      </w:r>
      <w:r w:rsidR="00271338">
        <w:rPr>
          <w:rFonts w:ascii="Arial" w:hAnsi="Arial" w:cs="Arial"/>
          <w:sz w:val="22"/>
          <w:szCs w:val="22"/>
        </w:rPr>
        <w:t xml:space="preserve"> </w:t>
      </w:r>
      <w:r w:rsidR="00670EBA">
        <w:rPr>
          <w:rFonts w:ascii="Arial" w:hAnsi="Arial" w:cs="Arial"/>
          <w:sz w:val="22"/>
          <w:szCs w:val="22"/>
        </w:rPr>
        <w:t>Chauffage-Ventilation-Sanitaires</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70EBA">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70EBA">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70EB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70EB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271338"/>
    <w:rsid w:val="004E61B9"/>
    <w:rsid w:val="00670EBA"/>
    <w:rsid w:val="00685F74"/>
    <w:rsid w:val="007B18B4"/>
    <w:rsid w:val="0081785D"/>
    <w:rsid w:val="008413DD"/>
    <w:rsid w:val="00BA5638"/>
    <w:rsid w:val="00BF6D7D"/>
    <w:rsid w:val="00C43755"/>
    <w:rsid w:val="00C60B6B"/>
    <w:rsid w:val="00D81503"/>
    <w:rsid w:val="00D823EE"/>
    <w:rsid w:val="00DC0CD3"/>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3572</Words>
  <Characters>19649</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2025-07-08T08:30:00Z</dcterms:created>
  <dcterms:modified xsi:type="dcterms:W3CDTF">2025-07-08T08:30:00Z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